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56AE" w14:textId="77777777" w:rsidR="000E3127" w:rsidRDefault="000E3127" w:rsidP="000E3127">
      <w:pPr>
        <w:pStyle w:val="2"/>
        <w:spacing w:line="360" w:lineRule="auto"/>
        <w:jc w:val="center"/>
      </w:pPr>
      <w:r>
        <w:rPr>
          <w:rFonts w:hint="eastAsia"/>
        </w:rPr>
        <w:t>投资者风险承受能力评估问卷（适用于机构投资者）</w:t>
      </w:r>
    </w:p>
    <w:p w14:paraId="0B30146D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sz w:val="24"/>
          <w:szCs w:val="24"/>
        </w:rPr>
        <w:t>客户名称：</w:t>
      </w:r>
    </w:p>
    <w:p w14:paraId="4E8C4A73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sz w:val="24"/>
          <w:szCs w:val="24"/>
        </w:rPr>
        <w:t>资金账号/客户号：</w:t>
      </w:r>
    </w:p>
    <w:p w14:paraId="77110819" w14:textId="77777777" w:rsidR="000E3127" w:rsidRDefault="000E3127" w:rsidP="000E3127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14:paraId="63709D9E" w14:textId="77777777" w:rsidR="000E3127" w:rsidRDefault="000E3127" w:rsidP="000E3127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lang w:val="en-GB"/>
        </w:rPr>
      </w:pPr>
      <w:r>
        <w:rPr>
          <w:rFonts w:ascii="宋体" w:eastAsia="宋体" w:hAnsi="宋体" w:cs="Times New Roman" w:hint="eastAsia"/>
          <w:sz w:val="24"/>
          <w:szCs w:val="24"/>
          <w:lang w:val="en-GB"/>
        </w:rPr>
        <w:t>风险承受能力评估是本公司履行投资者适当性管理职责的一个环节，</w:t>
      </w:r>
      <w:r>
        <w:rPr>
          <w:rFonts w:ascii="宋体" w:eastAsia="宋体" w:hAnsi="宋体" w:cs="Times New Roman" w:hint="eastAsia"/>
          <w:sz w:val="24"/>
          <w:szCs w:val="24"/>
        </w:rPr>
        <w:t>旨在了解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的风险承受能力等情况，协助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选择合适的金融产品</w:t>
      </w:r>
      <w:r>
        <w:rPr>
          <w:rFonts w:ascii="宋体" w:eastAsia="宋体" w:hAnsi="宋体" w:cs="Times New Roman" w:hint="eastAsia"/>
          <w:sz w:val="24"/>
          <w:szCs w:val="24"/>
          <w:lang w:val="en-GB"/>
        </w:rPr>
        <w:t>或金融服务类别，</w:t>
      </w:r>
      <w:r>
        <w:rPr>
          <w:rFonts w:ascii="宋体" w:eastAsia="宋体" w:hAnsi="宋体" w:cs="Times New Roman" w:hint="eastAsia"/>
          <w:sz w:val="24"/>
          <w:szCs w:val="24"/>
        </w:rPr>
        <w:t>使</w:t>
      </w:r>
      <w:r>
        <w:rPr>
          <w:rFonts w:ascii="宋体" w:eastAsia="宋体" w:hAnsi="宋体" w:cs="Times New Roman" w:hint="eastAsia"/>
          <w:sz w:val="24"/>
          <w:szCs w:val="24"/>
          <w:lang w:val="en-GB"/>
        </w:rPr>
        <w:t>本公司所提供的产品或服务与</w:t>
      </w:r>
      <w:proofErr w:type="gramStart"/>
      <w:r>
        <w:rPr>
          <w:rFonts w:ascii="宋体" w:eastAsia="宋体" w:hAnsi="宋体" w:cs="Times New Roman" w:hint="eastAsia"/>
          <w:sz w:val="24"/>
          <w:szCs w:val="24"/>
          <w:lang w:val="en-GB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  <w:lang w:val="en-GB"/>
        </w:rPr>
        <w:t>的风险承受能力等级相匹配。</w:t>
      </w:r>
    </w:p>
    <w:p w14:paraId="725B9E06" w14:textId="77777777" w:rsidR="000E3127" w:rsidRDefault="000E3127" w:rsidP="000E3127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val="en-GB"/>
        </w:rPr>
        <w:t>本公司特别提醒贵机构：本公司履行投资者适当性管理职责，并不能取代</w:t>
      </w:r>
      <w:proofErr w:type="gramStart"/>
      <w:r>
        <w:rPr>
          <w:rFonts w:ascii="宋体" w:eastAsia="宋体" w:hAnsi="宋体" w:cs="Times New Roman" w:hint="eastAsia"/>
          <w:sz w:val="24"/>
          <w:szCs w:val="24"/>
          <w:lang w:val="en-GB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  <w:lang w:val="en-GB"/>
        </w:rPr>
        <w:t>的投资判断，也不会降低产品或服务的固有风险。与产品或服务相关的投资风险、履约责任以及费用等将由</w:t>
      </w:r>
      <w:proofErr w:type="gramStart"/>
      <w:r>
        <w:rPr>
          <w:rFonts w:ascii="宋体" w:eastAsia="宋体" w:hAnsi="宋体" w:cs="Times New Roman" w:hint="eastAsia"/>
          <w:sz w:val="24"/>
          <w:szCs w:val="24"/>
          <w:lang w:val="en-GB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  <w:lang w:val="en-GB"/>
        </w:rPr>
        <w:t>自行承担。</w:t>
      </w:r>
    </w:p>
    <w:p w14:paraId="3FCA2E09" w14:textId="77777777" w:rsidR="000E3127" w:rsidRDefault="000E3127" w:rsidP="000E3127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val="en-GB"/>
        </w:rPr>
        <w:t>本公司提示贵机构：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  <w:lang w:val="en-GB"/>
        </w:rPr>
        <w:t>在中信证券及中信证券（山东）、中信证券华南、金通证券、中信期货等全资或控股的证券、期货公司及其子公司的风险承受能力评估结果将保持一致，本公司根据</w:t>
      </w:r>
      <w:proofErr w:type="gramStart"/>
      <w:r>
        <w:rPr>
          <w:rFonts w:ascii="宋体" w:eastAsia="宋体" w:hAnsi="宋体" w:cs="Times New Roman" w:hint="eastAsia"/>
          <w:sz w:val="24"/>
          <w:szCs w:val="24"/>
          <w:lang w:val="en-GB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  <w:lang w:val="en-GB"/>
        </w:rPr>
        <w:t>提供的信息对</w:t>
      </w:r>
      <w:proofErr w:type="gramStart"/>
      <w:r>
        <w:rPr>
          <w:rFonts w:ascii="宋体" w:eastAsia="宋体" w:hAnsi="宋体" w:cs="Times New Roman" w:hint="eastAsia"/>
          <w:sz w:val="24"/>
          <w:szCs w:val="24"/>
          <w:lang w:val="en-GB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  <w:lang w:val="en-GB"/>
        </w:rPr>
        <w:t>进行风险承受能力评估，开</w:t>
      </w:r>
      <w:r>
        <w:rPr>
          <w:rFonts w:ascii="宋体" w:eastAsia="宋体" w:hAnsi="宋体" w:cs="Times New Roman" w:hint="eastAsia"/>
          <w:sz w:val="24"/>
          <w:szCs w:val="24"/>
        </w:rPr>
        <w:t>展适当性工作。</w:t>
      </w:r>
      <w:proofErr w:type="gramStart"/>
      <w:r>
        <w:rPr>
          <w:rFonts w:ascii="宋体" w:eastAsia="宋体" w:hAnsi="宋体" w:cs="Times New Roman" w:hint="eastAsia"/>
          <w:b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sz w:val="24"/>
          <w:szCs w:val="24"/>
        </w:rPr>
        <w:t>应当如实提供相关信息及证明材料，并对所提供的信息和证明材料的真实性、准确性、完整性负责。</w:t>
      </w:r>
      <w:proofErr w:type="gramStart"/>
      <w:r>
        <w:rPr>
          <w:rFonts w:ascii="宋体" w:eastAsia="宋体" w:hAnsi="宋体" w:cs="Times New Roman" w:hint="eastAsia"/>
          <w:b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sz w:val="24"/>
          <w:szCs w:val="24"/>
        </w:rPr>
        <w:t>提供的信息存在虚假或遗漏的，</w:t>
      </w:r>
      <w:proofErr w:type="gramStart"/>
      <w:r>
        <w:rPr>
          <w:rFonts w:ascii="宋体" w:eastAsia="宋体" w:hAnsi="宋体" w:cs="Times New Roman" w:hint="eastAsia"/>
          <w:b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sz w:val="24"/>
          <w:szCs w:val="24"/>
        </w:rPr>
        <w:t>的风险承受能力评估结果将不准确，可能导致本公司提供的产品或服务与</w:t>
      </w:r>
      <w:proofErr w:type="gramStart"/>
      <w:r>
        <w:rPr>
          <w:rFonts w:ascii="宋体" w:eastAsia="宋体" w:hAnsi="宋体" w:cs="Times New Roman" w:hint="eastAsia"/>
          <w:b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sz w:val="24"/>
          <w:szCs w:val="24"/>
        </w:rPr>
        <w:t>实际的风险承受能力不匹配，</w:t>
      </w:r>
      <w:proofErr w:type="gramStart"/>
      <w:r>
        <w:rPr>
          <w:rFonts w:ascii="宋体" w:eastAsia="宋体" w:hAnsi="宋体" w:cs="Times New Roman" w:hint="eastAsia"/>
          <w:b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sz w:val="24"/>
          <w:szCs w:val="24"/>
        </w:rPr>
        <w:t>将承担因此产生的投资风险和可能导致的损失。</w:t>
      </w:r>
    </w:p>
    <w:p w14:paraId="4A54F1CD" w14:textId="77777777" w:rsidR="000E3127" w:rsidRDefault="000E3127" w:rsidP="000E3127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本公司建议：当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的各项状况发生重大变化时，需对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所投资的金融产品及时进行重新审视，以确保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的投资决定与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可承受的投资风险程度等实际情况一致。</w:t>
      </w:r>
    </w:p>
    <w:p w14:paraId="37CD19D8" w14:textId="77777777" w:rsidR="000E3127" w:rsidRDefault="000E3127" w:rsidP="000E3127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lang w:val="en-GB"/>
        </w:rPr>
      </w:pPr>
      <w:r>
        <w:rPr>
          <w:rFonts w:ascii="宋体" w:eastAsia="宋体" w:hAnsi="宋体" w:cs="Times New Roman" w:hint="eastAsia"/>
          <w:sz w:val="24"/>
          <w:szCs w:val="24"/>
          <w:lang w:val="en-GB"/>
        </w:rPr>
        <w:t>本公司在此承诺：中信证券及前述子公司将严格按照法律法规要求承担保密义务。除法律法规规定的有权机关依法定程序进行查询以外，本公司保证不会将涉及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sz w:val="24"/>
          <w:szCs w:val="24"/>
          <w:lang w:val="en-GB"/>
        </w:rPr>
        <w:t>的任何信息提供、泄露给任何</w:t>
      </w:r>
      <w:proofErr w:type="gramStart"/>
      <w:r>
        <w:rPr>
          <w:rFonts w:ascii="宋体" w:eastAsia="宋体" w:hAnsi="宋体" w:cs="Times New Roman" w:hint="eastAsia"/>
          <w:sz w:val="24"/>
          <w:szCs w:val="24"/>
          <w:lang w:val="en-GB"/>
        </w:rPr>
        <w:t>其他第三</w:t>
      </w:r>
      <w:proofErr w:type="gramEnd"/>
      <w:r>
        <w:rPr>
          <w:rFonts w:ascii="宋体" w:eastAsia="宋体" w:hAnsi="宋体" w:cs="Times New Roman" w:hint="eastAsia"/>
          <w:sz w:val="24"/>
          <w:szCs w:val="24"/>
          <w:lang w:val="en-GB"/>
        </w:rPr>
        <w:t>方，或者将相关信息用于违法、不当用途。</w:t>
      </w:r>
    </w:p>
    <w:p w14:paraId="52653B2D" w14:textId="77777777" w:rsidR="000E3127" w:rsidRDefault="000E3127" w:rsidP="000E3127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  <w:lang w:val="en-GB"/>
        </w:rPr>
      </w:pPr>
    </w:p>
    <w:p w14:paraId="109C00AC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一、基本信息</w:t>
      </w:r>
    </w:p>
    <w:p w14:paraId="4BD2795C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的性质：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6486A512" w14:textId="77777777" w:rsidR="000E3127" w:rsidRDefault="000E3127" w:rsidP="000E3127">
      <w:pPr>
        <w:numPr>
          <w:ilvl w:val="0"/>
          <w:numId w:val="1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国有企事业单位    B. 上市公司    C.外资企业      D. 非上市民营企业或其他类型</w:t>
      </w:r>
    </w:p>
    <w:p w14:paraId="1C779DE6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</w:p>
    <w:p w14:paraId="33F14BC9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二、财产和金融资产状况</w:t>
      </w:r>
    </w:p>
    <w:p w14:paraId="4AF51F95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2.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的净资产规模为：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38C96E7F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A. 500万元（不含）以下   B. 500万元-1000万元（不含）     C. 1000万元-1亿元（不含）    D. 1亿元以上  </w:t>
      </w:r>
    </w:p>
    <w:p w14:paraId="22A0D009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3.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年营业收入为：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0E59B134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A. 500万元（不含）以下   B. 500万元-2000万元（不含）     C. 2000万元-1亿元（不含）    D. 1亿元以上</w:t>
      </w:r>
    </w:p>
    <w:p w14:paraId="21EFD9C1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4.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持有的金融资产（含银行存款、股票、债券、基金份额、资产管理计划、银行理财产品、信托计划、保险产品、期货及其他衍生产品等）市值大约为：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09818DFE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A. 300万元（不含）以内   B. 300万元-1000万元（不含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）  C.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 xml:space="preserve"> 1000万元-3000万元（不含）   D. 3000万元以上</w:t>
      </w:r>
    </w:p>
    <w:p w14:paraId="4A310AAF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5.</w:t>
      </w:r>
      <w:r>
        <w:rPr>
          <w:rFonts w:ascii="宋体" w:eastAsia="宋体" w:hAnsi="宋体" w:cs="Times New Roman" w:hint="eastAsia"/>
          <w:b/>
          <w:bCs/>
          <w:color w:val="FF0000"/>
          <w:sz w:val="24"/>
          <w:szCs w:val="24"/>
        </w:rPr>
        <w:t xml:space="preserve"> 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的债务情况是（包括银行贷款、信用卡欠款、民间借贷、融资融券融入的资金等）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5673CB5E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A. 没有     B. 债务占总资产的10%（含）以内</w:t>
      </w:r>
    </w:p>
    <w:p w14:paraId="334DAF4A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C.债务占总资产的10%-50% （含）   D. 债务占总资产的50%-100%（含）     E.债务占总资产超过100%</w:t>
      </w:r>
    </w:p>
    <w:p w14:paraId="464A7111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14:paraId="30E06215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 xml:space="preserve">三、专业能力  </w:t>
      </w:r>
    </w:p>
    <w:p w14:paraId="2B1F8F5B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6.对于金融产品投资工作，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打算配置怎样的人员力量：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74CB53B9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A.一名兼职人员（包括负责人自行决策）        B.一名专职人员 </w:t>
      </w:r>
    </w:p>
    <w:p w14:paraId="3757CCDB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C.多名兼职或专职人员，相互之间分工不明确  </w:t>
      </w:r>
    </w:p>
    <w:p w14:paraId="3E5AAFB9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D.多名兼职或专职人员，相互之间有明确分工 </w:t>
      </w:r>
    </w:p>
    <w:p w14:paraId="38140E98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7.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所配置的负责金融产品投资工作的人员是否符合以下情况：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7480B482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A.现在或此前曾从事金融、经济或财会等与金融产品投资相关的工作超过两年  </w:t>
      </w:r>
    </w:p>
    <w:p w14:paraId="0899D086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B.已取得金融、经济或财会等与金融产品投资相关专业学士以上学位  </w:t>
      </w:r>
    </w:p>
    <w:p w14:paraId="0FE14A5F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 xml:space="preserve">C.取得证券从业资格、期货从业资格、注册会计师证书（CPA）或注册金融分析师证书（CFA）中的一项及以上 </w:t>
      </w:r>
    </w:p>
    <w:p w14:paraId="50EEE000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D.本单位所配置的人员不符合以上任何一项描述 </w:t>
      </w:r>
    </w:p>
    <w:p w14:paraId="77143065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8.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是否建立了金融产品投资相关的管理制度：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5C918F12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A.没有。因为要保证操作的灵活性      </w:t>
      </w:r>
    </w:p>
    <w:p w14:paraId="572A9375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B.已建立。包括了分工和授权的要求，但未包括投资风险控制的规则      </w:t>
      </w:r>
    </w:p>
    <w:p w14:paraId="1767DB41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C.已建立。包括了分工与授权、风险控制等一系列与金融产品投资有关的规则  </w:t>
      </w:r>
    </w:p>
    <w:p w14:paraId="065307BC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</w:p>
    <w:p w14:paraId="3A5C76D6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四、投资经验</w:t>
      </w:r>
    </w:p>
    <w:p w14:paraId="0847CAC9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9.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的投资经验可以被概括为：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453B28BB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A．有限：除银行活期账户和定期存款外，基本没有其他投资经验  </w:t>
      </w:r>
    </w:p>
    <w:p w14:paraId="0996721E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B．一般：除银行活期账户和定期存款外，购买过基金、保险等理财产品C．丰富：本单位具有相当投资经验，参与过股票、基金等产品的交易 </w:t>
      </w:r>
    </w:p>
    <w:p w14:paraId="6BA496C1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D．非常丰富：本单位对于投资非常有经验，参与过权证、期货或创业板等高风险产品的交易  </w:t>
      </w:r>
    </w:p>
    <w:p w14:paraId="24384A40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10.有一位投资者一个月内做了15笔交易（同一品种买卖各一次算一笔），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认为这样的交易频率：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1E852E87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A. 太高了      B. 偏高       C. 正常      D. 偏低  </w:t>
      </w:r>
    </w:p>
    <w:p w14:paraId="7656AA23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11.过去一年时间内，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购买的不同金融或接受的不同服务（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含同一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类型的不同产品或服务）的数量是：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75C9EA49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A.5个以下       B.6至10个       C.11至15个     D.16个以上  </w:t>
      </w:r>
    </w:p>
    <w:p w14:paraId="5E2DF02C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12.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有多少年投资银行理财、公募基金、股票、信托、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资管计划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、私募基金或金融衍生品等风险投资产品的经验？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2363B95A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 xml:space="preserve">A.0-6个月（不含）   B.6个月-2年（不含）   C.2至5年（不含） D.5至10年（不含）  E.10年以上 </w:t>
      </w:r>
    </w:p>
    <w:p w14:paraId="43CA84B7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13.如果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曾经从事过金融产品投资，在交易较为活跃的月份，平均月交易额大概是多少：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4B524436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A. 0-100万元（不含）     B. 100万元-300万元（不含）        C. 300万元-1000万元（不含）      D. 1000万元以上    </w:t>
      </w:r>
    </w:p>
    <w:p w14:paraId="2E0F9C64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</w:p>
    <w:p w14:paraId="27EF7AD3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五、投资目标</w:t>
      </w:r>
    </w:p>
    <w:p w14:paraId="2947C9F8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14.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用于证券期货投资的资金预计投资期限为：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421BF65A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A． 1年内（含）  B． 5年内（含）   C．5年以上或无特别要求</w:t>
      </w:r>
    </w:p>
    <w:p w14:paraId="45C6AA92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15.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的期望收益等投资目标和愿意承担的风险是：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718A6EA4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A．不在乎收益率，尽可能保证本金安全，愿意承担较小的投资损失</w:t>
      </w:r>
    </w:p>
    <w:p w14:paraId="66C36DFB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B. 产生一定的收益，愿意承担一定的投资风险和损失</w:t>
      </w:r>
    </w:p>
    <w:p w14:paraId="725F1F4E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C．产生较多的收益，愿意承担较大的投资风险和损失  </w:t>
      </w:r>
    </w:p>
    <w:p w14:paraId="4640ED78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D．实现资产大幅增长，愿意承担很大的投资风险和损失</w:t>
      </w:r>
    </w:p>
    <w:p w14:paraId="43E2F16E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16.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拟重点投资的品种？（本题可多选）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7454E4D2" w14:textId="77777777" w:rsidR="000E3127" w:rsidRDefault="000E3127" w:rsidP="000E312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A．现金、存款等货币类产品；以及债券、货币市场基金、债券基金等固定收益类产品</w:t>
      </w:r>
    </w:p>
    <w:p w14:paraId="77DB40A6" w14:textId="77777777" w:rsidR="000E3127" w:rsidRDefault="000E3127" w:rsidP="000E312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B．股票、股票型公募基金、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偏股混合型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公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募基金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等权益类产品</w:t>
      </w:r>
    </w:p>
    <w:p w14:paraId="314C23F4" w14:textId="77777777" w:rsidR="000E3127" w:rsidRDefault="000E3127" w:rsidP="000E312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C．大宗商品及其衍生品；期货、期权等场内、场外衍生品；融资融券，资产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证券化类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产品；</w:t>
      </w:r>
      <w:r>
        <w:rPr>
          <w:rFonts w:ascii="宋体" w:eastAsia="宋体" w:hAnsi="宋体" w:cs="Times New Roman"/>
          <w:sz w:val="24"/>
          <w:szCs w:val="24"/>
        </w:rPr>
        <w:t>其他类型公募基金（不含A、B所列示）</w:t>
      </w:r>
    </w:p>
    <w:p w14:paraId="510C2706" w14:textId="77777777" w:rsidR="000E3127" w:rsidRDefault="000E3127" w:rsidP="000E312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D．银行理财产品、收益凭证、各类资产管理计划、信托计划、私募证券投资基金、私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募股权投资</w:t>
      </w:r>
      <w:proofErr w:type="gramEnd"/>
      <w:r>
        <w:rPr>
          <w:rFonts w:ascii="宋体" w:eastAsia="宋体" w:hAnsi="宋体" w:cs="Times New Roman" w:hint="eastAsia"/>
          <w:sz w:val="24"/>
          <w:szCs w:val="24"/>
        </w:rPr>
        <w:t>基金等资产管理类产品；外国货币及其衍生品</w:t>
      </w:r>
    </w:p>
    <w:p w14:paraId="5A41F3C9" w14:textId="77777777" w:rsidR="000E3127" w:rsidRDefault="000E3127" w:rsidP="000E3127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E．其他复杂或高风险金融产品</w:t>
      </w:r>
    </w:p>
    <w:p w14:paraId="2F32415C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</w:p>
    <w:p w14:paraId="36022A02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六、投资知识</w:t>
      </w:r>
    </w:p>
    <w:p w14:paraId="0C12626D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17.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对金融产品投资知识的了解可描述为：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38569EF4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A．有限：基本没有掌握金融产品投资知识的人员</w:t>
      </w:r>
    </w:p>
    <w:p w14:paraId="6E1CC8AF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B．一般：对金融产品及相关风险具有基本的知识和理解</w:t>
      </w:r>
    </w:p>
    <w:p w14:paraId="614BDDCE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C．丰富：对金融产品及相关风险具有丰富的知识和理解</w:t>
      </w:r>
    </w:p>
    <w:p w14:paraId="368907F8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="宋体" w:eastAsia="宋体" w:hAnsi="宋体" w:cs="Times New Roman" w:hint="eastAsia"/>
          <w:bCs/>
          <w:sz w:val="24"/>
          <w:szCs w:val="24"/>
        </w:rPr>
        <w:t>D．非常丰富：具有专业的金融产品及相关风险知识，</w:t>
      </w:r>
      <w:proofErr w:type="gramStart"/>
      <w:r>
        <w:rPr>
          <w:rFonts w:ascii="宋体" w:eastAsia="宋体" w:hAnsi="宋体" w:cs="Times New Roman" w:hint="eastAsia"/>
          <w:bCs/>
          <w:sz w:val="24"/>
          <w:szCs w:val="24"/>
        </w:rPr>
        <w:t>且理解</w:t>
      </w:r>
      <w:proofErr w:type="gramEnd"/>
      <w:r>
        <w:rPr>
          <w:rFonts w:ascii="宋体" w:eastAsia="宋体" w:hAnsi="宋体" w:cs="Times New Roman" w:hint="eastAsia"/>
          <w:bCs/>
          <w:sz w:val="24"/>
          <w:szCs w:val="24"/>
        </w:rPr>
        <w:t>深入的人员</w:t>
      </w:r>
    </w:p>
    <w:p w14:paraId="420390A8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</w:p>
    <w:p w14:paraId="1DD15586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七、风险偏好</w:t>
      </w:r>
    </w:p>
    <w:p w14:paraId="02CABD04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18.假设有两种不同的投资：投资A预期获得5%的收益，有可能承担非常小的损失；投资B预期获得20%的收益，但有可能面临25%甚至更高的亏损。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将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如何分配投资资产？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36C1F2EF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A．全部投资于A         B．大部分投资于A         C．两种投资各一半  </w:t>
      </w:r>
    </w:p>
    <w:p w14:paraId="4991824F" w14:textId="77777777" w:rsidR="000E3127" w:rsidRDefault="000E3127" w:rsidP="000E3127">
      <w:pPr>
        <w:numPr>
          <w:ilvl w:val="0"/>
          <w:numId w:val="2"/>
        </w:numPr>
        <w:spacing w:line="360" w:lineRule="auto"/>
        <w:jc w:val="lef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 xml:space="preserve">大部分投资于B       E．全部投资于B </w:t>
      </w:r>
    </w:p>
    <w:p w14:paraId="6E40E61D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19.</w:t>
      </w:r>
      <w:proofErr w:type="gramStart"/>
      <w:r>
        <w:rPr>
          <w:rFonts w:ascii="宋体" w:eastAsia="宋体" w:hAnsi="宋体" w:cs="Times New Roman" w:hint="eastAsia"/>
          <w:b/>
          <w:bCs/>
          <w:sz w:val="24"/>
          <w:szCs w:val="24"/>
        </w:rPr>
        <w:t>贵机构</w:t>
      </w:r>
      <w:proofErr w:type="gramEnd"/>
      <w:r>
        <w:rPr>
          <w:rFonts w:ascii="宋体" w:eastAsia="宋体" w:hAnsi="宋体" w:cs="Times New Roman" w:hint="eastAsia"/>
          <w:b/>
          <w:bCs/>
          <w:sz w:val="24"/>
          <w:szCs w:val="24"/>
        </w:rPr>
        <w:t>参与金融产品投资的主要目的是什么：</w:t>
      </w:r>
      <w:r>
        <w:rPr>
          <w:rFonts w:asciiTheme="minorEastAsia" w:hAnsiTheme="minorEastAsia" w:hint="eastAsia"/>
          <w:sz w:val="18"/>
          <w:szCs w:val="18"/>
        </w:rPr>
        <w:t>_________</w:t>
      </w:r>
    </w:p>
    <w:p w14:paraId="4AC8E96F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A.闲置资金保值增值                    B.获取主营业务以外的投资收益 </w:t>
      </w:r>
    </w:p>
    <w:p w14:paraId="18B02DC1" w14:textId="77777777" w:rsidR="000E3127" w:rsidRDefault="000E3127" w:rsidP="000E3127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C.现货套期保值、对冲主营业务风险      D.减持已持有的股票  </w:t>
      </w:r>
    </w:p>
    <w:p w14:paraId="39D80434" w14:textId="77777777" w:rsidR="000E3127" w:rsidRDefault="000E3127" w:rsidP="000E3127">
      <w:pPr>
        <w:jc w:val="left"/>
        <w:rPr>
          <w:rFonts w:ascii="宋体" w:eastAsia="宋体" w:hAnsi="宋体" w:cs="Times New Roman"/>
          <w:sz w:val="24"/>
          <w:szCs w:val="24"/>
        </w:rPr>
      </w:pPr>
    </w:p>
    <w:p w14:paraId="2F26167C" w14:textId="77777777" w:rsidR="000E3127" w:rsidRDefault="000E3127" w:rsidP="000E3127">
      <w:pPr>
        <w:jc w:val="left"/>
        <w:rPr>
          <w:rFonts w:ascii="宋体" w:eastAsia="宋体" w:hAnsi="宋体" w:cs="Times New Roman"/>
          <w:sz w:val="24"/>
          <w:szCs w:val="24"/>
        </w:rPr>
      </w:pPr>
    </w:p>
    <w:p w14:paraId="6339537C" w14:textId="77777777" w:rsidR="000E3127" w:rsidRDefault="000E3127" w:rsidP="000E3127">
      <w:pPr>
        <w:jc w:val="left"/>
        <w:rPr>
          <w:rFonts w:ascii="宋体" w:eastAsia="宋体" w:hAnsi="宋体" w:cs="Times New Roman"/>
          <w:sz w:val="24"/>
          <w:szCs w:val="24"/>
        </w:rPr>
      </w:pPr>
    </w:p>
    <w:p w14:paraId="29449DFB" w14:textId="77777777" w:rsidR="000E3127" w:rsidRDefault="000E3127" w:rsidP="000E3127">
      <w:pPr>
        <w:rPr>
          <w:rFonts w:ascii="宋体" w:eastAsia="宋体" w:hAnsi="宋体" w:cs="Times New Roman"/>
          <w:b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b/>
          <w:sz w:val="24"/>
          <w:szCs w:val="24"/>
          <w:u w:val="single"/>
        </w:rPr>
        <w:t>投资者签署确认</w:t>
      </w:r>
    </w:p>
    <w:p w14:paraId="486D692B" w14:textId="77777777" w:rsidR="000E3127" w:rsidRDefault="000E3127" w:rsidP="000E3127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14:paraId="28687F4C" w14:textId="77777777" w:rsidR="000E3127" w:rsidRDefault="000E3127" w:rsidP="000E3127">
      <w:pPr>
        <w:ind w:firstLineChars="196" w:firstLine="47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本机构已经了解并愿意遵守国家有关证券期货市场管理的法律、法规、规章及相关业务规则，本机构在此郑重承诺以上填写的内容真实、准确、完整。若本机构的信息发生任何重大变化，本机构将及时书面通知贵公司。</w:t>
      </w:r>
    </w:p>
    <w:p w14:paraId="4BE856EF" w14:textId="77777777" w:rsidR="000E3127" w:rsidRDefault="000E3127" w:rsidP="000E3127">
      <w:pPr>
        <w:spacing w:line="260" w:lineRule="exact"/>
        <w:ind w:firstLine="480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本机构在本问卷中所提供的一切信息，授权中信证券及中信证券（山东）、中信证券华南、金通证券、中信期货等全资或控股的证券、期货公司及其子公司用于适当性管理及相关业务。</w:t>
      </w:r>
    </w:p>
    <w:p w14:paraId="2B5BDDE0" w14:textId="77777777" w:rsidR="000E3127" w:rsidRDefault="000E3127" w:rsidP="000E3127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14:paraId="7E5BA60D" w14:textId="77777777" w:rsidR="000E3127" w:rsidRDefault="000E3127" w:rsidP="000E3127">
      <w:pPr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                                    投资者（盖章）：</w:t>
      </w:r>
    </w:p>
    <w:p w14:paraId="1CFE2C19" w14:textId="77777777" w:rsidR="000E3127" w:rsidRDefault="000E3127" w:rsidP="000E3127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14:paraId="5DEE79CC" w14:textId="77777777" w:rsidR="000E3127" w:rsidRDefault="000E3127" w:rsidP="000E3127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14:paraId="20C36239" w14:textId="77777777" w:rsidR="000E3127" w:rsidRDefault="000E3127" w:rsidP="000E3127">
      <w:pPr>
        <w:rPr>
          <w:rFonts w:ascii="宋体" w:eastAsia="宋体" w:hAnsi="宋体" w:cs="Times New Roman"/>
          <w:b/>
          <w:bCs/>
          <w:sz w:val="24"/>
          <w:szCs w:val="24"/>
        </w:rPr>
      </w:pPr>
    </w:p>
    <w:p w14:paraId="029BF9C1" w14:textId="77777777" w:rsidR="000E3127" w:rsidRDefault="000E3127" w:rsidP="000E3127">
      <w:pPr>
        <w:spacing w:line="240" w:lineRule="atLeas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                                          签署日期： </w:t>
      </w:r>
    </w:p>
    <w:p w14:paraId="4A5349B3" w14:textId="77777777" w:rsidR="00984530" w:rsidRPr="000E3127" w:rsidRDefault="00984530" w:rsidP="000E3127"/>
    <w:sectPr w:rsidR="00984530" w:rsidRPr="000E3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7DD4" w14:textId="77777777" w:rsidR="00031309" w:rsidRDefault="00031309" w:rsidP="000E3127">
      <w:r>
        <w:separator/>
      </w:r>
    </w:p>
  </w:endnote>
  <w:endnote w:type="continuationSeparator" w:id="0">
    <w:p w14:paraId="294F5199" w14:textId="77777777" w:rsidR="00031309" w:rsidRDefault="00031309" w:rsidP="000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72E9" w14:textId="77777777" w:rsidR="00031309" w:rsidRDefault="00031309" w:rsidP="000E3127">
      <w:r>
        <w:separator/>
      </w:r>
    </w:p>
  </w:footnote>
  <w:footnote w:type="continuationSeparator" w:id="0">
    <w:p w14:paraId="530498FC" w14:textId="77777777" w:rsidR="00031309" w:rsidRDefault="00031309" w:rsidP="000E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20715139"/>
    <w:multiLevelType w:val="multilevel"/>
    <w:tmpl w:val="20715139"/>
    <w:lvl w:ilvl="0">
      <w:start w:val="4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666396540">
    <w:abstractNumId w:val="0"/>
  </w:num>
  <w:num w:numId="2" w16cid:durableId="773674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5505"/>
    <w:rsid w:val="00031309"/>
    <w:rsid w:val="000E3127"/>
    <w:rsid w:val="00165505"/>
    <w:rsid w:val="009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94A96"/>
  <w15:chartTrackingRefBased/>
  <w15:docId w15:val="{53F8A472-A7AC-43EF-9199-B5500B37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2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655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1655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E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1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深圳运营2</dc:creator>
  <cp:keywords/>
  <dc:description/>
  <cp:lastModifiedBy>深圳运营2</cp:lastModifiedBy>
  <cp:revision>2</cp:revision>
  <dcterms:created xsi:type="dcterms:W3CDTF">2021-11-02T06:19:00Z</dcterms:created>
  <dcterms:modified xsi:type="dcterms:W3CDTF">2023-04-17T11:08:00Z</dcterms:modified>
</cp:coreProperties>
</file>